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tblCellMar>
          <w:left w:w="0" w:type="dxa"/>
          <w:right w:w="0" w:type="dxa"/>
        </w:tblCellMar>
        <w:tblLook w:val="04A0" w:firstRow="1" w:lastRow="0" w:firstColumn="1" w:lastColumn="0" w:noHBand="0" w:noVBand="1"/>
      </w:tblPr>
      <w:tblGrid>
        <w:gridCol w:w="9360"/>
      </w:tblGrid>
      <w:tr w:rsidR="00354FF7" w:rsidRPr="00354FF7" w14:paraId="5B5E0AF1" w14:textId="77777777" w:rsidTr="00354FF7">
        <w:trPr>
          <w:tblCellSpacing w:w="0" w:type="dxa"/>
        </w:trPr>
        <w:tc>
          <w:tcPr>
            <w:tcW w:w="5000" w:type="pct"/>
            <w:shd w:val="clear" w:color="auto" w:fill="275627"/>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354FF7" w:rsidRPr="00354FF7" w14:paraId="39B4D418" w14:textId="77777777" w:rsidTr="00354FF7">
              <w:trPr>
                <w:tblCellSpacing w:w="0" w:type="dxa"/>
              </w:trPr>
              <w:tc>
                <w:tcPr>
                  <w:tcW w:w="0" w:type="auto"/>
                  <w:tcMar>
                    <w:top w:w="150" w:type="dxa"/>
                    <w:left w:w="300" w:type="dxa"/>
                    <w:bottom w:w="150" w:type="dxa"/>
                    <w:right w:w="300" w:type="dxa"/>
                  </w:tcMar>
                  <w:hideMark/>
                </w:tcPr>
                <w:p w14:paraId="78DD1466" w14:textId="77777777" w:rsidR="00354FF7" w:rsidRPr="00354FF7" w:rsidRDefault="00354FF7" w:rsidP="00354FF7">
                  <w:pPr>
                    <w:spacing w:after="0" w:line="240" w:lineRule="auto"/>
                    <w:jc w:val="center"/>
                    <w:rPr>
                      <w:rFonts w:ascii="Arial" w:eastAsia="Times New Roman" w:hAnsi="Arial" w:cs="Arial"/>
                      <w:color w:val="000000"/>
                      <w:sz w:val="21"/>
                      <w:szCs w:val="21"/>
                    </w:rPr>
                  </w:pPr>
                  <w:r w:rsidRPr="00354FF7">
                    <w:rPr>
                      <w:rFonts w:ascii="Times New Roman" w:eastAsia="Times New Roman" w:hAnsi="Times New Roman" w:cs="Times New Roman"/>
                      <w:b/>
                      <w:bCs/>
                      <w:color w:val="FFFFFF"/>
                      <w:sz w:val="36"/>
                      <w:szCs w:val="36"/>
                    </w:rPr>
                    <w:t>TOUR TIPS</w:t>
                  </w:r>
                </w:p>
                <w:p w14:paraId="54648012" w14:textId="77777777" w:rsidR="00354FF7" w:rsidRPr="00354FF7" w:rsidRDefault="00354FF7" w:rsidP="00354FF7">
                  <w:pPr>
                    <w:spacing w:after="0" w:line="240" w:lineRule="auto"/>
                    <w:jc w:val="center"/>
                    <w:rPr>
                      <w:rFonts w:ascii="Arial" w:eastAsia="Times New Roman" w:hAnsi="Arial" w:cs="Arial"/>
                      <w:color w:val="000000"/>
                      <w:sz w:val="21"/>
                      <w:szCs w:val="21"/>
                    </w:rPr>
                  </w:pPr>
                  <w:r w:rsidRPr="00354FF7">
                    <w:rPr>
                      <w:rFonts w:ascii="Times New Roman" w:eastAsia="Times New Roman" w:hAnsi="Times New Roman" w:cs="Times New Roman"/>
                      <w:b/>
                      <w:bCs/>
                      <w:color w:val="FFFFFF"/>
                      <w:sz w:val="33"/>
                      <w:szCs w:val="33"/>
                    </w:rPr>
                    <w:t>TR, THE SETTLEMENT OF “THE GREAT COAL STRIKE” AND ITS IMPACT ON AMERICAN LIFE</w:t>
                  </w:r>
                </w:p>
                <w:p w14:paraId="2E92057C" w14:textId="77777777" w:rsidR="00354FF7" w:rsidRPr="00354FF7" w:rsidRDefault="00354FF7" w:rsidP="00354FF7">
                  <w:pPr>
                    <w:spacing w:after="0" w:line="240" w:lineRule="auto"/>
                    <w:jc w:val="center"/>
                    <w:rPr>
                      <w:rFonts w:ascii="Arial" w:eastAsia="Times New Roman" w:hAnsi="Arial" w:cs="Arial"/>
                      <w:color w:val="000000"/>
                      <w:sz w:val="21"/>
                      <w:szCs w:val="21"/>
                    </w:rPr>
                  </w:pPr>
                  <w:r w:rsidRPr="00354FF7">
                    <w:rPr>
                      <w:rFonts w:ascii="Times New Roman" w:eastAsia="Times New Roman" w:hAnsi="Times New Roman" w:cs="Times New Roman"/>
                      <w:b/>
                      <w:bCs/>
                      <w:color w:val="FFFFFF"/>
                      <w:sz w:val="33"/>
                      <w:szCs w:val="33"/>
                    </w:rPr>
                    <w:t>Part II</w:t>
                  </w:r>
                </w:p>
                <w:p w14:paraId="32E942CF" w14:textId="77777777" w:rsidR="00354FF7" w:rsidRPr="00354FF7" w:rsidRDefault="00354FF7" w:rsidP="00354FF7">
                  <w:pPr>
                    <w:spacing w:after="0" w:line="240" w:lineRule="auto"/>
                    <w:jc w:val="center"/>
                    <w:rPr>
                      <w:rFonts w:ascii="Arial" w:eastAsia="Times New Roman" w:hAnsi="Arial" w:cs="Arial"/>
                      <w:color w:val="000000"/>
                      <w:sz w:val="21"/>
                      <w:szCs w:val="21"/>
                    </w:rPr>
                  </w:pPr>
                  <w:r w:rsidRPr="00354FF7">
                    <w:rPr>
                      <w:rFonts w:ascii="Arial" w:eastAsia="Times New Roman" w:hAnsi="Arial" w:cs="Arial"/>
                      <w:b/>
                      <w:bCs/>
                      <w:color w:val="FFFFFF"/>
                      <w:sz w:val="21"/>
                      <w:szCs w:val="21"/>
                    </w:rPr>
                    <w:t>by Nancy Hall</w:t>
                  </w:r>
                </w:p>
              </w:tc>
            </w:tr>
          </w:tbl>
          <w:p w14:paraId="69396ED7" w14:textId="77777777" w:rsidR="00354FF7" w:rsidRPr="00354FF7" w:rsidRDefault="00354FF7" w:rsidP="00354FF7">
            <w:pPr>
              <w:spacing w:after="0" w:line="240" w:lineRule="auto"/>
              <w:rPr>
                <w:rFonts w:ascii="Times New Roman" w:eastAsia="Times New Roman" w:hAnsi="Times New Roman" w:cs="Times New Roman"/>
                <w:sz w:val="24"/>
                <w:szCs w:val="24"/>
              </w:rPr>
            </w:pPr>
          </w:p>
        </w:tc>
      </w:tr>
    </w:tbl>
    <w:p w14:paraId="41D69B6A" w14:textId="77777777" w:rsidR="00354FF7" w:rsidRPr="00354FF7" w:rsidRDefault="00354FF7" w:rsidP="00354FF7">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54FF7" w:rsidRPr="00354FF7" w14:paraId="6F9EB039" w14:textId="77777777" w:rsidTr="00354FF7">
        <w:trPr>
          <w:tblCellSpacing w:w="0" w:type="dxa"/>
        </w:trPr>
        <w:tc>
          <w:tcPr>
            <w:tcW w:w="5000" w:type="pct"/>
            <w:shd w:val="clear" w:color="auto" w:fill="275627"/>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354FF7" w:rsidRPr="00354FF7" w14:paraId="40D3F113" w14:textId="77777777" w:rsidTr="00354FF7">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354FF7" w:rsidRPr="00354FF7" w14:paraId="29B57C61" w14:textId="77777777">
                    <w:trPr>
                      <w:tblCellSpacing w:w="15" w:type="dxa"/>
                      <w:jc w:val="center"/>
                    </w:trPr>
                    <w:tc>
                      <w:tcPr>
                        <w:tcW w:w="5000" w:type="pct"/>
                        <w:tcMar>
                          <w:top w:w="60" w:type="dxa"/>
                          <w:left w:w="0" w:type="dxa"/>
                          <w:bottom w:w="60"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649"/>
                        </w:tblGrid>
                        <w:tr w:rsidR="00354FF7" w:rsidRPr="00354FF7" w14:paraId="7D9AFB6F" w14:textId="77777777">
                          <w:trPr>
                            <w:trHeight w:val="15"/>
                            <w:tblCellSpacing w:w="0" w:type="dxa"/>
                            <w:jc w:val="center"/>
                          </w:trPr>
                          <w:tc>
                            <w:tcPr>
                              <w:tcW w:w="0" w:type="auto"/>
                              <w:tcBorders>
                                <w:bottom w:val="nil"/>
                              </w:tcBorders>
                              <w:shd w:val="clear" w:color="auto" w:fill="FFFFFF"/>
                              <w:vAlign w:val="center"/>
                              <w:hideMark/>
                            </w:tcPr>
                            <w:p w14:paraId="6114FF82" w14:textId="77777777" w:rsidR="00354FF7" w:rsidRPr="00354FF7" w:rsidRDefault="00354FF7" w:rsidP="00354FF7">
                              <w:pPr>
                                <w:spacing w:after="0" w:line="15" w:lineRule="atLeast"/>
                                <w:jc w:val="center"/>
                                <w:divId w:val="2080982095"/>
                                <w:rPr>
                                  <w:rFonts w:ascii="Times New Roman" w:eastAsia="Times New Roman" w:hAnsi="Times New Roman" w:cs="Times New Roman"/>
                                  <w:sz w:val="24"/>
                                  <w:szCs w:val="24"/>
                                </w:rPr>
                              </w:pPr>
                              <w:r w:rsidRPr="00354FF7">
                                <w:rPr>
                                  <w:rFonts w:ascii="Times New Roman" w:eastAsia="Times New Roman" w:hAnsi="Times New Roman" w:cs="Times New Roman"/>
                                  <w:noProof/>
                                  <w:sz w:val="24"/>
                                  <w:szCs w:val="24"/>
                                </w:rPr>
                                <w:drawing>
                                  <wp:inline distT="0" distB="0" distL="0" distR="0" wp14:anchorId="0CA161BA" wp14:editId="262ED046">
                                    <wp:extent cx="44450" cy="6350"/>
                                    <wp:effectExtent l="0" t="0" r="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low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DACD007" w14:textId="77777777" w:rsidR="00354FF7" w:rsidRPr="00354FF7" w:rsidRDefault="00354FF7" w:rsidP="00354FF7">
                        <w:pPr>
                          <w:spacing w:after="0" w:line="240" w:lineRule="auto"/>
                          <w:jc w:val="center"/>
                          <w:rPr>
                            <w:rFonts w:ascii="Times New Roman" w:eastAsia="Times New Roman" w:hAnsi="Times New Roman" w:cs="Times New Roman"/>
                            <w:sz w:val="24"/>
                            <w:szCs w:val="24"/>
                          </w:rPr>
                        </w:pPr>
                      </w:p>
                    </w:tc>
                  </w:tr>
                </w:tbl>
                <w:p w14:paraId="327154EE" w14:textId="77777777" w:rsidR="00354FF7" w:rsidRPr="00354FF7" w:rsidRDefault="00354FF7" w:rsidP="00354FF7">
                  <w:pPr>
                    <w:spacing w:after="0" w:line="240" w:lineRule="auto"/>
                    <w:jc w:val="center"/>
                    <w:rPr>
                      <w:rFonts w:ascii="Times New Roman" w:eastAsia="Times New Roman" w:hAnsi="Times New Roman" w:cs="Times New Roman"/>
                      <w:sz w:val="24"/>
                      <w:szCs w:val="24"/>
                    </w:rPr>
                  </w:pPr>
                </w:p>
              </w:tc>
            </w:tr>
          </w:tbl>
          <w:p w14:paraId="1DD42BBD" w14:textId="77777777" w:rsidR="00354FF7" w:rsidRPr="00354FF7" w:rsidRDefault="00354FF7" w:rsidP="00354FF7">
            <w:pPr>
              <w:spacing w:after="0" w:line="240" w:lineRule="auto"/>
              <w:rPr>
                <w:rFonts w:ascii="Times New Roman" w:eastAsia="Times New Roman" w:hAnsi="Times New Roman" w:cs="Times New Roman"/>
                <w:sz w:val="24"/>
                <w:szCs w:val="24"/>
              </w:rPr>
            </w:pPr>
          </w:p>
        </w:tc>
      </w:tr>
    </w:tbl>
    <w:p w14:paraId="35DB6E3F" w14:textId="77777777" w:rsidR="00354FF7" w:rsidRPr="00354FF7" w:rsidRDefault="00354FF7" w:rsidP="00354FF7">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54FF7" w:rsidRPr="00354FF7" w14:paraId="0B69202C" w14:textId="77777777" w:rsidTr="00354FF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354FF7" w:rsidRPr="00354FF7" w14:paraId="3F12482B" w14:textId="77777777" w:rsidTr="003628E4">
              <w:trPr>
                <w:tblCellSpacing w:w="0" w:type="dxa"/>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10"/>
                  </w:tblGrid>
                  <w:tr w:rsidR="00354FF7" w:rsidRPr="00354FF7" w14:paraId="44B38BAA" w14:textId="77777777" w:rsidTr="00354FF7">
                    <w:trPr>
                      <w:trHeight w:val="15"/>
                      <w:tblCellSpacing w:w="0" w:type="dxa"/>
                    </w:trPr>
                    <w:tc>
                      <w:tcPr>
                        <w:tcW w:w="225" w:type="dxa"/>
                        <w:hideMark/>
                      </w:tcPr>
                      <w:p w14:paraId="3E214453" w14:textId="77777777" w:rsidR="00354FF7" w:rsidRPr="00354FF7" w:rsidRDefault="00354FF7" w:rsidP="00354FF7">
                        <w:pPr>
                          <w:spacing w:after="0" w:line="15" w:lineRule="atLeast"/>
                          <w:jc w:val="center"/>
                          <w:rPr>
                            <w:rFonts w:ascii="Times New Roman" w:eastAsia="Times New Roman" w:hAnsi="Times New Roman" w:cs="Times New Roman"/>
                            <w:sz w:val="24"/>
                            <w:szCs w:val="24"/>
                          </w:rPr>
                        </w:pPr>
                        <w:r w:rsidRPr="00354FF7">
                          <w:rPr>
                            <w:rFonts w:ascii="Times New Roman" w:eastAsia="Times New Roman" w:hAnsi="Times New Roman" w:cs="Times New Roman"/>
                            <w:noProof/>
                            <w:sz w:val="24"/>
                            <w:szCs w:val="24"/>
                          </w:rPr>
                          <w:drawing>
                            <wp:inline distT="0" distB="0" distL="0" distR="0" wp14:anchorId="6CF8E4A2" wp14:editId="23681C4B">
                              <wp:extent cx="139700" cy="6350"/>
                              <wp:effectExtent l="0" t="0" r="0" b="0"/>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hideMark/>
                      </w:tcPr>
                      <w:p w14:paraId="1D46EB09" w14:textId="77777777" w:rsidR="00354FF7" w:rsidRPr="00354FF7" w:rsidRDefault="00354FF7" w:rsidP="00354FF7">
                        <w:pPr>
                          <w:spacing w:after="0" w:line="240" w:lineRule="auto"/>
                          <w:jc w:val="center"/>
                          <w:rPr>
                            <w:rFonts w:ascii="Times New Roman" w:eastAsia="Times New Roman" w:hAnsi="Times New Roman" w:cs="Times New Roman"/>
                            <w:sz w:val="24"/>
                            <w:szCs w:val="24"/>
                          </w:rPr>
                        </w:pPr>
                      </w:p>
                    </w:tc>
                  </w:tr>
                  <w:tr w:rsidR="00354FF7" w:rsidRPr="00354FF7" w14:paraId="194604B6" w14:textId="77777777" w:rsidTr="00354FF7">
                    <w:trPr>
                      <w:trHeight w:val="75"/>
                      <w:tblCellSpacing w:w="0" w:type="dxa"/>
                    </w:trPr>
                    <w:tc>
                      <w:tcPr>
                        <w:tcW w:w="75" w:type="dxa"/>
                        <w:hideMark/>
                      </w:tcPr>
                      <w:p w14:paraId="3701D8F7" w14:textId="77777777" w:rsidR="00354FF7" w:rsidRPr="00354FF7" w:rsidRDefault="00354FF7" w:rsidP="00354FF7">
                        <w:pPr>
                          <w:spacing w:after="0" w:line="15" w:lineRule="atLeast"/>
                          <w:jc w:val="center"/>
                          <w:rPr>
                            <w:rFonts w:ascii="Times New Roman" w:eastAsia="Times New Roman" w:hAnsi="Times New Roman" w:cs="Times New Roman"/>
                            <w:sz w:val="24"/>
                            <w:szCs w:val="24"/>
                          </w:rPr>
                        </w:pPr>
                        <w:r w:rsidRPr="00354FF7">
                          <w:rPr>
                            <w:rFonts w:ascii="Times New Roman" w:eastAsia="Times New Roman" w:hAnsi="Times New Roman" w:cs="Times New Roman"/>
                            <w:noProof/>
                            <w:sz w:val="24"/>
                            <w:szCs w:val="24"/>
                          </w:rPr>
                          <w:drawing>
                            <wp:inline distT="0" distB="0" distL="0" distR="0" wp14:anchorId="6C1227A9" wp14:editId="0F886400">
                              <wp:extent cx="44450" cy="6350"/>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c>
                      <w:tcPr>
                        <w:tcW w:w="0" w:type="auto"/>
                        <w:hideMark/>
                      </w:tcPr>
                      <w:p w14:paraId="5CED5E42" w14:textId="77777777" w:rsidR="00354FF7" w:rsidRPr="00354FF7" w:rsidRDefault="00354FF7" w:rsidP="00354FF7">
                        <w:pPr>
                          <w:spacing w:after="0" w:line="15" w:lineRule="atLeast"/>
                          <w:jc w:val="center"/>
                          <w:rPr>
                            <w:rFonts w:ascii="Times New Roman" w:eastAsia="Times New Roman" w:hAnsi="Times New Roman" w:cs="Times New Roman"/>
                            <w:sz w:val="24"/>
                            <w:szCs w:val="24"/>
                          </w:rPr>
                        </w:pPr>
                        <w:r w:rsidRPr="00354FF7">
                          <w:rPr>
                            <w:rFonts w:ascii="Times New Roman" w:eastAsia="Times New Roman" w:hAnsi="Times New Roman" w:cs="Times New Roman"/>
                            <w:noProof/>
                            <w:sz w:val="24"/>
                            <w:szCs w:val="24"/>
                          </w:rPr>
                          <w:drawing>
                            <wp:inline distT="0" distB="0" distL="0" distR="0" wp14:anchorId="7E711329" wp14:editId="52F910D1">
                              <wp:extent cx="6350" cy="44450"/>
                              <wp:effectExtent l="0" t="0" r="0" b="0"/>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r>
                </w:tbl>
                <w:p w14:paraId="2E2F81D3" w14:textId="19308E0A"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xml:space="preserve">When talking with visitors about the many articles of interest in the Library of the TRH, it’s easy to overlook the small coal </w:t>
                  </w:r>
                  <w:proofErr w:type="spellStart"/>
                  <w:r w:rsidRPr="00354FF7">
                    <w:rPr>
                      <w:rFonts w:ascii="Arial" w:eastAsia="Times New Roman" w:hAnsi="Arial" w:cs="Arial"/>
                      <w:color w:val="000000"/>
                      <w:sz w:val="21"/>
                      <w:szCs w:val="21"/>
                    </w:rPr>
                    <w:t>hod</w:t>
                  </w:r>
                  <w:proofErr w:type="spellEnd"/>
                  <w:r w:rsidRPr="00354FF7">
                    <w:rPr>
                      <w:rFonts w:ascii="Arial" w:eastAsia="Times New Roman" w:hAnsi="Arial" w:cs="Arial"/>
                      <w:color w:val="000000"/>
                      <w:sz w:val="21"/>
                      <w:szCs w:val="21"/>
                    </w:rPr>
                    <w:t xml:space="preserve"> on the far left of the mantle. However, the story behind that miniature coal </w:t>
                  </w:r>
                  <w:proofErr w:type="spellStart"/>
                  <w:r w:rsidRPr="00354FF7">
                    <w:rPr>
                      <w:rFonts w:ascii="Arial" w:eastAsia="Times New Roman" w:hAnsi="Arial" w:cs="Arial"/>
                      <w:color w:val="000000"/>
                      <w:sz w:val="21"/>
                      <w:szCs w:val="21"/>
                    </w:rPr>
                    <w:t>hod</w:t>
                  </w:r>
                  <w:proofErr w:type="spellEnd"/>
                  <w:r w:rsidRPr="00354FF7">
                    <w:rPr>
                      <w:rFonts w:ascii="Arial" w:eastAsia="Times New Roman" w:hAnsi="Arial" w:cs="Arial"/>
                      <w:color w:val="000000"/>
                      <w:sz w:val="21"/>
                      <w:szCs w:val="21"/>
                    </w:rPr>
                    <w:t xml:space="preserve"> and Roosevelt’s intervention in the coal strike of 1902 is one worth retelling.</w:t>
                  </w:r>
                  <w:r w:rsidR="003628E4">
                    <w:rPr>
                      <w:rFonts w:ascii="Arial" w:eastAsia="Times New Roman" w:hAnsi="Arial" w:cs="Arial"/>
                      <w:color w:val="000000"/>
                      <w:sz w:val="21"/>
                      <w:szCs w:val="21"/>
                    </w:rPr>
                    <w:t xml:space="preserve"> </w:t>
                  </w:r>
                  <w:r w:rsidR="003628E4">
                    <w:rPr>
                      <w:noProof/>
                    </w:rPr>
                    <w:drawing>
                      <wp:anchor distT="0" distB="0" distL="114300" distR="114300" simplePos="0" relativeHeight="251658240" behindDoc="0" locked="0" layoutInCell="1" allowOverlap="1" wp14:anchorId="76C5E5CE" wp14:editId="614F8521">
                        <wp:simplePos x="0" y="0"/>
                        <wp:positionH relativeFrom="column">
                          <wp:posOffset>0</wp:posOffset>
                        </wp:positionH>
                        <wp:positionV relativeFrom="paragraph">
                          <wp:posOffset>0</wp:posOffset>
                        </wp:positionV>
                        <wp:extent cx="1162050" cy="1162050"/>
                        <wp:effectExtent l="0" t="0" r="0" b="0"/>
                        <wp:wrapThrough wrapText="bothSides">
                          <wp:wrapPolygon edited="0">
                            <wp:start x="0" y="0"/>
                            <wp:lineTo x="0" y="21246"/>
                            <wp:lineTo x="21246" y="21246"/>
                            <wp:lineTo x="2124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anchor>
                    </w:drawing>
                  </w:r>
                </w:p>
                <w:p w14:paraId="6F944EF8" w14:textId="77777777" w:rsidR="00354FF7" w:rsidRPr="00354FF7" w:rsidRDefault="00354FF7" w:rsidP="00354FF7">
                  <w:pPr>
                    <w:spacing w:after="0" w:line="240" w:lineRule="auto"/>
                    <w:rPr>
                      <w:rFonts w:ascii="Arial" w:eastAsia="Times New Roman" w:hAnsi="Arial" w:cs="Arial"/>
                      <w:color w:val="000000"/>
                      <w:sz w:val="21"/>
                      <w:szCs w:val="21"/>
                    </w:rPr>
                  </w:pPr>
                </w:p>
                <w:p w14:paraId="27A67FB3"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xml:space="preserve">Last September, mid-COVID and pandemic </w:t>
                  </w:r>
                  <w:proofErr w:type="gramStart"/>
                  <w:r w:rsidRPr="00354FF7">
                    <w:rPr>
                      <w:rFonts w:ascii="Arial" w:eastAsia="Times New Roman" w:hAnsi="Arial" w:cs="Arial"/>
                      <w:color w:val="000000"/>
                      <w:sz w:val="21"/>
                      <w:szCs w:val="21"/>
                    </w:rPr>
                    <w:t>shut-downs</w:t>
                  </w:r>
                  <w:proofErr w:type="gramEnd"/>
                  <w:r w:rsidRPr="00354FF7">
                    <w:rPr>
                      <w:rFonts w:ascii="Arial" w:eastAsia="Times New Roman" w:hAnsi="Arial" w:cs="Arial"/>
                      <w:color w:val="000000"/>
                      <w:sz w:val="21"/>
                      <w:szCs w:val="21"/>
                    </w:rPr>
                    <w:t xml:space="preserve">, the Friends of Sagamore Hill sponsored a well-received virtual book discussion of Susan </w:t>
                  </w:r>
                  <w:proofErr w:type="spellStart"/>
                  <w:r w:rsidRPr="00354FF7">
                    <w:rPr>
                      <w:rFonts w:ascii="Arial" w:eastAsia="Times New Roman" w:hAnsi="Arial" w:cs="Arial"/>
                      <w:color w:val="000000"/>
                      <w:sz w:val="21"/>
                      <w:szCs w:val="21"/>
                    </w:rPr>
                    <w:t>Berfield’s</w:t>
                  </w:r>
                  <w:proofErr w:type="spellEnd"/>
                  <w:r w:rsidRPr="00354FF7">
                    <w:rPr>
                      <w:rFonts w:ascii="Arial" w:eastAsia="Times New Roman" w:hAnsi="Arial" w:cs="Arial"/>
                      <w:color w:val="000000"/>
                      <w:sz w:val="21"/>
                      <w:szCs w:val="21"/>
                    </w:rPr>
                    <w:t xml:space="preserve"> </w:t>
                  </w:r>
                  <w:r w:rsidRPr="00354FF7">
                    <w:rPr>
                      <w:rFonts w:ascii="Arial" w:eastAsia="Times New Roman" w:hAnsi="Arial" w:cs="Arial"/>
                      <w:i/>
                      <w:iCs/>
                      <w:color w:val="000000"/>
                      <w:sz w:val="21"/>
                      <w:szCs w:val="21"/>
                    </w:rPr>
                    <w:t xml:space="preserve">The Hour of Fate, </w:t>
                  </w:r>
                  <w:r w:rsidRPr="00354FF7">
                    <w:rPr>
                      <w:rFonts w:ascii="Arial" w:eastAsia="Times New Roman" w:hAnsi="Arial" w:cs="Arial"/>
                      <w:color w:val="000000"/>
                      <w:sz w:val="21"/>
                      <w:szCs w:val="21"/>
                    </w:rPr>
                    <w:t xml:space="preserve">moderated by TR specialist and author, Clay Risen. </w:t>
                  </w:r>
                  <w:proofErr w:type="spellStart"/>
                  <w:r w:rsidRPr="00354FF7">
                    <w:rPr>
                      <w:rFonts w:ascii="Arial" w:eastAsia="Times New Roman" w:hAnsi="Arial" w:cs="Arial"/>
                      <w:color w:val="000000"/>
                      <w:sz w:val="21"/>
                      <w:szCs w:val="21"/>
                    </w:rPr>
                    <w:t>Berfield</w:t>
                  </w:r>
                  <w:proofErr w:type="spellEnd"/>
                  <w:r w:rsidRPr="00354FF7">
                    <w:rPr>
                      <w:rFonts w:ascii="Arial" w:eastAsia="Times New Roman" w:hAnsi="Arial" w:cs="Arial"/>
                      <w:color w:val="000000"/>
                      <w:sz w:val="21"/>
                      <w:szCs w:val="21"/>
                    </w:rPr>
                    <w:t xml:space="preserve">, subtitled her book “Theodore Roosevelt, J.P. Morgan, and the Battle to Transform American Capitalism.” She asserts that the 1902 anthracite coal strike was “one of the greatest labor actions in American history . . . </w:t>
                  </w:r>
                  <w:r w:rsidRPr="00354FF7">
                    <w:rPr>
                      <w:rFonts w:ascii="Arial" w:eastAsia="Times New Roman" w:hAnsi="Arial" w:cs="Arial"/>
                      <w:b/>
                      <w:bCs/>
                      <w:color w:val="000000"/>
                      <w:sz w:val="21"/>
                      <w:szCs w:val="21"/>
                    </w:rPr>
                    <w:t xml:space="preserve">a confrontation between the past where power was concentrated [in the richest Americans] and a future where it was shared.” </w:t>
                  </w:r>
                  <w:r w:rsidRPr="00354FF7">
                    <w:rPr>
                      <w:rFonts w:ascii="Arial" w:eastAsia="Times New Roman" w:hAnsi="Arial" w:cs="Arial"/>
                      <w:color w:val="000000"/>
                      <w:sz w:val="21"/>
                      <w:szCs w:val="21"/>
                    </w:rPr>
                    <w:t>TR’s controversial interventionist approach and the emerging power of unionized labor had far-reaching consequences</w:t>
                  </w:r>
                  <w:r w:rsidRPr="00354FF7">
                    <w:rPr>
                      <w:rFonts w:ascii="Arial" w:eastAsia="Times New Roman" w:hAnsi="Arial" w:cs="Arial"/>
                      <w:b/>
                      <w:bCs/>
                      <w:color w:val="000000"/>
                      <w:sz w:val="21"/>
                      <w:szCs w:val="21"/>
                    </w:rPr>
                    <w:t xml:space="preserve"> </w:t>
                  </w:r>
                  <w:r w:rsidRPr="00354FF7">
                    <w:rPr>
                      <w:rFonts w:ascii="Arial" w:eastAsia="Times New Roman" w:hAnsi="Arial" w:cs="Arial"/>
                      <w:color w:val="000000"/>
                      <w:sz w:val="21"/>
                      <w:szCs w:val="21"/>
                    </w:rPr>
                    <w:t xml:space="preserve">that we still experience today. Part I in the July issue of the </w:t>
                  </w:r>
                  <w:r w:rsidRPr="00354FF7">
                    <w:rPr>
                      <w:rFonts w:ascii="Arial" w:eastAsia="Times New Roman" w:hAnsi="Arial" w:cs="Arial"/>
                      <w:i/>
                      <w:iCs/>
                      <w:color w:val="000000"/>
                      <w:sz w:val="21"/>
                      <w:szCs w:val="21"/>
                    </w:rPr>
                    <w:t>Rough Writer</w:t>
                  </w:r>
                  <w:r w:rsidRPr="00354FF7">
                    <w:rPr>
                      <w:rFonts w:ascii="Arial" w:eastAsia="Times New Roman" w:hAnsi="Arial" w:cs="Arial"/>
                      <w:color w:val="000000"/>
                      <w:sz w:val="21"/>
                      <w:szCs w:val="21"/>
                    </w:rPr>
                    <w:t xml:space="preserve"> presented the background to the coal strike. Below, is Part II, its consequences for the American Labor Movement.</w:t>
                  </w:r>
                </w:p>
                <w:p w14:paraId="397DB664" w14:textId="77777777" w:rsidR="00354FF7" w:rsidRPr="00354FF7" w:rsidRDefault="00354FF7" w:rsidP="00354FF7">
                  <w:pPr>
                    <w:spacing w:after="0" w:line="240" w:lineRule="auto"/>
                    <w:rPr>
                      <w:rFonts w:ascii="Arial" w:eastAsia="Times New Roman" w:hAnsi="Arial" w:cs="Arial"/>
                      <w:color w:val="000000"/>
                      <w:sz w:val="21"/>
                      <w:szCs w:val="21"/>
                    </w:rPr>
                  </w:pPr>
                </w:p>
                <w:p w14:paraId="26CAF54B" w14:textId="77777777" w:rsidR="00354FF7" w:rsidRPr="00354FF7" w:rsidRDefault="00354FF7" w:rsidP="00354FF7">
                  <w:pPr>
                    <w:spacing w:after="0" w:line="240" w:lineRule="auto"/>
                    <w:jc w:val="center"/>
                    <w:rPr>
                      <w:rFonts w:ascii="Arial" w:eastAsia="Times New Roman" w:hAnsi="Arial" w:cs="Arial"/>
                      <w:color w:val="000000"/>
                      <w:sz w:val="21"/>
                      <w:szCs w:val="21"/>
                    </w:rPr>
                  </w:pPr>
                  <w:r w:rsidRPr="00354FF7">
                    <w:rPr>
                      <w:rFonts w:ascii="Arial" w:eastAsia="Times New Roman" w:hAnsi="Arial" w:cs="Arial"/>
                      <w:b/>
                      <w:bCs/>
                      <w:color w:val="5A0808"/>
                      <w:sz w:val="21"/>
                      <w:szCs w:val="21"/>
                    </w:rPr>
                    <w:t>Part II – The Impact of the Coal Strike on the American Labor Movement</w:t>
                  </w:r>
                  <w:r w:rsidRPr="00354FF7">
                    <w:rPr>
                      <w:rFonts w:ascii="Arial" w:eastAsia="Times New Roman" w:hAnsi="Arial" w:cs="Arial"/>
                      <w:color w:val="000000"/>
                      <w:sz w:val="21"/>
                      <w:szCs w:val="21"/>
                    </w:rPr>
                    <w:t xml:space="preserve"> </w:t>
                  </w:r>
                </w:p>
                <w:p w14:paraId="5331055A" w14:textId="77777777" w:rsidR="00354FF7" w:rsidRPr="00354FF7" w:rsidRDefault="00354FF7" w:rsidP="00354FF7">
                  <w:pPr>
                    <w:spacing w:after="0" w:line="240" w:lineRule="auto"/>
                    <w:rPr>
                      <w:rFonts w:ascii="Arial" w:eastAsia="Times New Roman" w:hAnsi="Arial" w:cs="Arial"/>
                      <w:color w:val="000000"/>
                      <w:sz w:val="21"/>
                      <w:szCs w:val="21"/>
                    </w:rPr>
                  </w:pPr>
                </w:p>
                <w:p w14:paraId="1AA73600"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xml:space="preserve">The consequences of this 6-months long struggle between capital and labor were greater than the wage and workday concessions. Both Scott Connelly and Susan </w:t>
                  </w:r>
                  <w:proofErr w:type="spellStart"/>
                  <w:r w:rsidRPr="00354FF7">
                    <w:rPr>
                      <w:rFonts w:ascii="Arial" w:eastAsia="Times New Roman" w:hAnsi="Arial" w:cs="Arial"/>
                      <w:color w:val="000000"/>
                      <w:sz w:val="21"/>
                      <w:szCs w:val="21"/>
                    </w:rPr>
                    <w:t>Berfield</w:t>
                  </w:r>
                  <w:proofErr w:type="spellEnd"/>
                  <w:r w:rsidRPr="00354FF7">
                    <w:rPr>
                      <w:rFonts w:ascii="Arial" w:eastAsia="Times New Roman" w:hAnsi="Arial" w:cs="Arial"/>
                      <w:color w:val="000000"/>
                      <w:sz w:val="21"/>
                      <w:szCs w:val="21"/>
                    </w:rPr>
                    <w:t xml:space="preserve"> conclude that there were at least three important gains resulting from the coal strike that continue to affect both political and social agendas to this day.</w:t>
                  </w:r>
                </w:p>
                <w:p w14:paraId="1BCF4B7C"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w:t>
                  </w:r>
                </w:p>
                <w:p w14:paraId="7A8F9156"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The first was the establishment of a consequential labor movement. Economist Selig Perlman (Univ. of Wisconsin) stated that “for perhaps the first time in history ‘a labor organization tied up for months a strategic industry...without being condemned as a revolutionary menace.</w:t>
                  </w:r>
                  <w:proofErr w:type="gramStart"/>
                  <w:r w:rsidRPr="00354FF7">
                    <w:rPr>
                      <w:rFonts w:ascii="Arial" w:eastAsia="Times New Roman" w:hAnsi="Arial" w:cs="Arial"/>
                      <w:color w:val="000000"/>
                      <w:sz w:val="21"/>
                      <w:szCs w:val="21"/>
                    </w:rPr>
                    <w:t>’ ”</w:t>
                  </w:r>
                  <w:proofErr w:type="gramEnd"/>
                  <w:r w:rsidRPr="00354FF7">
                    <w:rPr>
                      <w:rFonts w:ascii="Arial" w:eastAsia="Times New Roman" w:hAnsi="Arial" w:cs="Arial"/>
                      <w:color w:val="000000"/>
                      <w:sz w:val="21"/>
                      <w:szCs w:val="21"/>
                    </w:rPr>
                    <w:t xml:space="preserve"> (Connelly) While critics of the settlement disapproved of this form of government intervention and the emerging power of labor, the public, this time, stood with the miners.</w:t>
                  </w:r>
                </w:p>
                <w:p w14:paraId="70C78068"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w:t>
                  </w:r>
                </w:p>
                <w:p w14:paraId="309612D6"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xml:space="preserve">Another important advance emerging from this </w:t>
                  </w:r>
                  <w:proofErr w:type="gramStart"/>
                  <w:r w:rsidRPr="00354FF7">
                    <w:rPr>
                      <w:rFonts w:ascii="Arial" w:eastAsia="Times New Roman" w:hAnsi="Arial" w:cs="Arial"/>
                      <w:color w:val="000000"/>
                      <w:sz w:val="21"/>
                      <w:szCs w:val="21"/>
                    </w:rPr>
                    <w:t>often violent</w:t>
                  </w:r>
                  <w:proofErr w:type="gramEnd"/>
                  <w:r w:rsidRPr="00354FF7">
                    <w:rPr>
                      <w:rFonts w:ascii="Arial" w:eastAsia="Times New Roman" w:hAnsi="Arial" w:cs="Arial"/>
                      <w:color w:val="000000"/>
                      <w:sz w:val="21"/>
                      <w:szCs w:val="21"/>
                    </w:rPr>
                    <w:t xml:space="preserve"> conflict between strikers and owners was the establishment of uniformed state police. During this strike and earlier ones between 1868 and 1876, privately-owned “police” wielded tough vigilante-like “justice”. Striking miners were labeled as “anarchists” and “Molly Maguires” (after the Irish vigilantes fighting against the British), when, in fact, it was the “Coal and Iron Policeman” who enforced the owners’ “law” with brutality. When Samuel Pennypacker became governor of Pennsylvania in 1903, the mine operators wanted the Coal and Iron Policemen to become commissioned by the State and given civil police powers. Pennypacker threw their requests on the floor declaring, “Take them away ...We must have an independent constabulary.” (Connelly) On May 2, 1905, the General Assembly of the state of Pennsylvania created the Pennsylvania State Police, the first organization of uniformed police in the United States. </w:t>
                  </w:r>
                </w:p>
                <w:p w14:paraId="085D7BBB"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w:t>
                  </w:r>
                </w:p>
                <w:p w14:paraId="05605C33"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xml:space="preserve">Finally, while Roosevelt believed his action was a risky but necessary political maneuver, the resulting negotiated settlement which he helped initiate set a precedent involving the federal government in disputes between capital and labor: it “propelled Progressivism, the greatest good for the greatest amount of people, forward onto the politics and society headed by Theodore Roosevelt.” (Connelly) That political ideology sought to limit the power and influence of the wealthy class, fought for better </w:t>
                  </w:r>
                  <w:proofErr w:type="gramStart"/>
                  <w:r w:rsidRPr="00354FF7">
                    <w:rPr>
                      <w:rFonts w:ascii="Arial" w:eastAsia="Times New Roman" w:hAnsi="Arial" w:cs="Arial"/>
                      <w:color w:val="000000"/>
                      <w:sz w:val="21"/>
                      <w:szCs w:val="21"/>
                    </w:rPr>
                    <w:t>living</w:t>
                  </w:r>
                  <w:proofErr w:type="gramEnd"/>
                  <w:r w:rsidRPr="00354FF7">
                    <w:rPr>
                      <w:rFonts w:ascii="Arial" w:eastAsia="Times New Roman" w:hAnsi="Arial" w:cs="Arial"/>
                      <w:color w:val="000000"/>
                      <w:sz w:val="21"/>
                      <w:szCs w:val="21"/>
                    </w:rPr>
                    <w:t xml:space="preserve"> and working conditions for everyday citizens, and created initiatives leading to the 8-hour workday, the formation of the NAACP, and legislation resulting in the 1906 Pure Food and Drug Act. </w:t>
                  </w:r>
                </w:p>
                <w:p w14:paraId="5CBDCAE5"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w:t>
                  </w:r>
                </w:p>
                <w:p w14:paraId="781DA022"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xml:space="preserve">The coal strike of 1902 began as a potential national crisis threatening to destabilize American society, but Roosevelt’s response established a governmental precedent that had far-reaching consequences for American civil society and aspirational government, one </w:t>
                  </w:r>
                  <w:proofErr w:type="gramStart"/>
                  <w:r w:rsidRPr="00354FF7">
                    <w:rPr>
                      <w:rFonts w:ascii="Arial" w:eastAsia="Times New Roman" w:hAnsi="Arial" w:cs="Arial"/>
                      <w:color w:val="000000"/>
                      <w:sz w:val="21"/>
                      <w:szCs w:val="21"/>
                    </w:rPr>
                    <w:t>whose</w:t>
                  </w:r>
                  <w:proofErr w:type="gramEnd"/>
                  <w:r w:rsidRPr="00354FF7">
                    <w:rPr>
                      <w:rFonts w:ascii="Arial" w:eastAsia="Times New Roman" w:hAnsi="Arial" w:cs="Arial"/>
                      <w:color w:val="000000"/>
                      <w:sz w:val="21"/>
                      <w:szCs w:val="21"/>
                    </w:rPr>
                    <w:t xml:space="preserve"> ideal is “an economy that works for everyone.” (</w:t>
                  </w:r>
                  <w:proofErr w:type="spellStart"/>
                  <w:r w:rsidRPr="00354FF7">
                    <w:rPr>
                      <w:rFonts w:ascii="Arial" w:eastAsia="Times New Roman" w:hAnsi="Arial" w:cs="Arial"/>
                      <w:color w:val="000000"/>
                      <w:sz w:val="21"/>
                      <w:szCs w:val="21"/>
                    </w:rPr>
                    <w:t>Berfield</w:t>
                  </w:r>
                  <w:proofErr w:type="spellEnd"/>
                  <w:r w:rsidRPr="00354FF7">
                    <w:rPr>
                      <w:rFonts w:ascii="Arial" w:eastAsia="Times New Roman" w:hAnsi="Arial" w:cs="Arial"/>
                      <w:color w:val="000000"/>
                      <w:sz w:val="21"/>
                      <w:szCs w:val="21"/>
                    </w:rPr>
                    <w:t xml:space="preserve">) </w:t>
                  </w:r>
                </w:p>
                <w:p w14:paraId="23953C9A"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w:t>
                  </w:r>
                </w:p>
                <w:p w14:paraId="2F42AA5A"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 xml:space="preserve">His decision to intervene in the anthracite coal strike was the defining moment of his presidency, and he justifiably took pride in his role in helping to avert continued civil strife and suffering. Others did, too. On Christmas Eve, 1902, a miner delivered a miniature copper coal </w:t>
                  </w:r>
                  <w:proofErr w:type="spellStart"/>
                  <w:r w:rsidRPr="00354FF7">
                    <w:rPr>
                      <w:rFonts w:ascii="Arial" w:eastAsia="Times New Roman" w:hAnsi="Arial" w:cs="Arial"/>
                      <w:color w:val="000000"/>
                      <w:sz w:val="21"/>
                      <w:szCs w:val="21"/>
                    </w:rPr>
                    <w:t>hod</w:t>
                  </w:r>
                  <w:proofErr w:type="spellEnd"/>
                  <w:r w:rsidRPr="00354FF7">
                    <w:rPr>
                      <w:rFonts w:ascii="Arial" w:eastAsia="Times New Roman" w:hAnsi="Arial" w:cs="Arial"/>
                      <w:color w:val="000000"/>
                      <w:sz w:val="21"/>
                      <w:szCs w:val="21"/>
                    </w:rPr>
                    <w:t xml:space="preserve"> (above), a token of his appreciation, to the White House. Many years later, Ethel Roosevelt Derby remembered that the small coal </w:t>
                  </w:r>
                  <w:proofErr w:type="spellStart"/>
                  <w:r w:rsidRPr="00354FF7">
                    <w:rPr>
                      <w:rFonts w:ascii="Arial" w:eastAsia="Times New Roman" w:hAnsi="Arial" w:cs="Arial"/>
                      <w:color w:val="000000"/>
                      <w:sz w:val="21"/>
                      <w:szCs w:val="21"/>
                    </w:rPr>
                    <w:t>hod</w:t>
                  </w:r>
                  <w:proofErr w:type="spellEnd"/>
                  <w:r w:rsidRPr="00354FF7">
                    <w:rPr>
                      <w:rFonts w:ascii="Arial" w:eastAsia="Times New Roman" w:hAnsi="Arial" w:cs="Arial"/>
                      <w:color w:val="000000"/>
                      <w:sz w:val="21"/>
                      <w:szCs w:val="21"/>
                    </w:rPr>
                    <w:t xml:space="preserve"> contained a piece of coal (Ingersoll). Roosevelt was so touched by the miner’s gesture that he placed it on the mantle in the library of Sagamore Hill near other treasures</w:t>
                  </w:r>
                  <w:r w:rsidRPr="00354FF7">
                    <w:rPr>
                      <w:rFonts w:ascii="Arial" w:eastAsia="Times New Roman" w:hAnsi="Arial" w:cs="Arial"/>
                      <w:color w:val="000000"/>
                      <w:sz w:val="23"/>
                      <w:szCs w:val="23"/>
                    </w:rPr>
                    <w:t xml:space="preserve"> –</w:t>
                  </w:r>
                  <w:r w:rsidRPr="00354FF7">
                    <w:rPr>
                      <w:rFonts w:ascii="Arial" w:eastAsia="Times New Roman" w:hAnsi="Arial" w:cs="Arial"/>
                      <w:color w:val="000000"/>
                      <w:sz w:val="21"/>
                      <w:szCs w:val="21"/>
                    </w:rPr>
                    <w:t xml:space="preserve"> one from a king (the silver flagon from King </w:t>
                  </w:r>
                  <w:proofErr w:type="spellStart"/>
                  <w:r w:rsidRPr="00354FF7">
                    <w:rPr>
                      <w:rFonts w:ascii="Arial" w:eastAsia="Times New Roman" w:hAnsi="Arial" w:cs="Arial"/>
                      <w:color w:val="000000"/>
                      <w:sz w:val="21"/>
                      <w:szCs w:val="21"/>
                    </w:rPr>
                    <w:t>Hakkon</w:t>
                  </w:r>
                  <w:proofErr w:type="spellEnd"/>
                  <w:r w:rsidRPr="00354FF7">
                    <w:rPr>
                      <w:rFonts w:ascii="Arial" w:eastAsia="Times New Roman" w:hAnsi="Arial" w:cs="Arial"/>
                      <w:color w:val="000000"/>
                      <w:sz w:val="21"/>
                      <w:szCs w:val="21"/>
                    </w:rPr>
                    <w:t xml:space="preserve"> of Norway) and one from a pope (the mosaic of the Vatican Gardens from Pope Leo XIII). The framed autograph and picture of the poet of democracy, Walt Whitman, hangs nearby. </w:t>
                  </w:r>
                </w:p>
                <w:p w14:paraId="2B8E0056"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1"/>
                      <w:szCs w:val="21"/>
                    </w:rPr>
                    <w:t>-----------</w:t>
                  </w:r>
                </w:p>
                <w:p w14:paraId="01AF9B38"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3"/>
                      <w:szCs w:val="23"/>
                    </w:rPr>
                    <w:t>Sources: </w:t>
                  </w:r>
                </w:p>
                <w:p w14:paraId="48E25AC1" w14:textId="77777777" w:rsidR="00354FF7" w:rsidRPr="00354FF7" w:rsidRDefault="00354FF7" w:rsidP="00354FF7">
                  <w:pPr>
                    <w:spacing w:after="0" w:line="240" w:lineRule="auto"/>
                    <w:rPr>
                      <w:rFonts w:ascii="Arial" w:eastAsia="Times New Roman" w:hAnsi="Arial" w:cs="Arial"/>
                      <w:color w:val="000000"/>
                      <w:sz w:val="21"/>
                      <w:szCs w:val="21"/>
                    </w:rPr>
                  </w:pPr>
                  <w:proofErr w:type="spellStart"/>
                  <w:r w:rsidRPr="00354FF7">
                    <w:rPr>
                      <w:rFonts w:ascii="Arial" w:eastAsia="Times New Roman" w:hAnsi="Arial" w:cs="Arial"/>
                      <w:color w:val="000000"/>
                      <w:sz w:val="23"/>
                      <w:szCs w:val="23"/>
                    </w:rPr>
                    <w:t>Berfield</w:t>
                  </w:r>
                  <w:proofErr w:type="spellEnd"/>
                  <w:r w:rsidRPr="00354FF7">
                    <w:rPr>
                      <w:rFonts w:ascii="Arial" w:eastAsia="Times New Roman" w:hAnsi="Arial" w:cs="Arial"/>
                      <w:color w:val="000000"/>
                      <w:sz w:val="23"/>
                      <w:szCs w:val="23"/>
                    </w:rPr>
                    <w:t>, Susan. “The Coal Strike that Defined Theodore Roosevelt’s Presidency.”</w:t>
                  </w:r>
                </w:p>
                <w:p w14:paraId="2EC08CC9" w14:textId="77777777" w:rsidR="00354FF7" w:rsidRPr="00354FF7" w:rsidRDefault="00354FF7" w:rsidP="00354FF7">
                  <w:pPr>
                    <w:spacing w:after="0" w:line="240" w:lineRule="auto"/>
                    <w:rPr>
                      <w:rFonts w:ascii="Arial" w:eastAsia="Times New Roman" w:hAnsi="Arial" w:cs="Arial"/>
                      <w:color w:val="000000"/>
                      <w:sz w:val="21"/>
                      <w:szCs w:val="21"/>
                    </w:rPr>
                  </w:pPr>
                  <w:hyperlink r:id="rId7" w:tgtFrame="_blank" w:history="1">
                    <w:r w:rsidRPr="00354FF7">
                      <w:rPr>
                        <w:rFonts w:ascii="Arial" w:eastAsia="Times New Roman" w:hAnsi="Arial" w:cs="Arial"/>
                        <w:color w:val="0000FF"/>
                        <w:sz w:val="23"/>
                        <w:szCs w:val="23"/>
                        <w:u w:val="single"/>
                      </w:rPr>
                      <w:t>smithsonianmag.com</w:t>
                    </w:r>
                  </w:hyperlink>
                  <w:r w:rsidRPr="00354FF7">
                    <w:rPr>
                      <w:rFonts w:ascii="Arial" w:eastAsia="Times New Roman" w:hAnsi="Arial" w:cs="Arial"/>
                      <w:color w:val="000000"/>
                      <w:sz w:val="23"/>
                      <w:szCs w:val="23"/>
                    </w:rPr>
                    <w:t>. July 15, 2020 </w:t>
                  </w:r>
                </w:p>
                <w:p w14:paraId="2BE5D05D" w14:textId="77777777" w:rsidR="00354FF7" w:rsidRPr="00354FF7" w:rsidRDefault="00354FF7" w:rsidP="00354FF7">
                  <w:pPr>
                    <w:spacing w:after="0" w:line="240" w:lineRule="auto"/>
                    <w:rPr>
                      <w:rFonts w:ascii="Arial" w:eastAsia="Times New Roman" w:hAnsi="Arial" w:cs="Arial"/>
                      <w:color w:val="000000"/>
                      <w:sz w:val="21"/>
                      <w:szCs w:val="21"/>
                    </w:rPr>
                  </w:pPr>
                  <w:r w:rsidRPr="00354FF7">
                    <w:rPr>
                      <w:rFonts w:ascii="Arial" w:eastAsia="Times New Roman" w:hAnsi="Arial" w:cs="Arial"/>
                      <w:color w:val="000000"/>
                      <w:sz w:val="23"/>
                      <w:szCs w:val="23"/>
                    </w:rPr>
                    <w:t>Connelly, Scott. “The Greatest Strike Ever.” The Pennsylvania Center for the Book – Great Anthracite Coal Strike of 1902. Spring 2010. </w:t>
                  </w:r>
                </w:p>
                <w:p w14:paraId="6EA1C8F3" w14:textId="77777777" w:rsidR="00354FF7" w:rsidRDefault="00354FF7" w:rsidP="00354FF7">
                  <w:pPr>
                    <w:spacing w:after="0" w:line="240" w:lineRule="auto"/>
                    <w:rPr>
                      <w:rFonts w:ascii="Arial" w:eastAsia="Times New Roman" w:hAnsi="Arial" w:cs="Arial"/>
                      <w:color w:val="000000"/>
                      <w:sz w:val="23"/>
                      <w:szCs w:val="23"/>
                    </w:rPr>
                  </w:pPr>
                  <w:r w:rsidRPr="00354FF7">
                    <w:rPr>
                      <w:rFonts w:ascii="Arial" w:eastAsia="Times New Roman" w:hAnsi="Arial" w:cs="Arial"/>
                      <w:color w:val="000000"/>
                      <w:sz w:val="23"/>
                      <w:szCs w:val="23"/>
                    </w:rPr>
                    <w:t>Ingersoll, William, Historian at Edison National Historic Site. Interview with Mrs. Ethel Roosevelt Derby at Sagamore Hill. April 4, 1962.</w:t>
                  </w:r>
                </w:p>
                <w:p w14:paraId="5540C417" w14:textId="77777777" w:rsidR="003628E4" w:rsidRDefault="003628E4" w:rsidP="00354FF7">
                  <w:pPr>
                    <w:spacing w:after="0" w:line="240" w:lineRule="auto"/>
                    <w:rPr>
                      <w:rFonts w:ascii="Arial" w:eastAsia="Times New Roman" w:hAnsi="Arial" w:cs="Arial"/>
                      <w:color w:val="000000"/>
                      <w:sz w:val="23"/>
                      <w:szCs w:val="23"/>
                    </w:rPr>
                  </w:pPr>
                </w:p>
                <w:p w14:paraId="2A77555B" w14:textId="56741535" w:rsidR="003628E4" w:rsidRPr="00354FF7" w:rsidRDefault="003628E4" w:rsidP="003628E4">
                  <w:pPr>
                    <w:spacing w:after="0" w:line="240" w:lineRule="auto"/>
                    <w:jc w:val="center"/>
                    <w:rPr>
                      <w:rFonts w:ascii="Arial" w:eastAsia="Times New Roman" w:hAnsi="Arial" w:cs="Arial"/>
                      <w:color w:val="000000"/>
                      <w:sz w:val="21"/>
                      <w:szCs w:val="21"/>
                    </w:rPr>
                  </w:pPr>
                  <w:r>
                    <w:rPr>
                      <w:noProof/>
                    </w:rPr>
                    <w:drawing>
                      <wp:inline distT="0" distB="0" distL="0" distR="0" wp14:anchorId="3E5E7263" wp14:editId="31CB48A8">
                        <wp:extent cx="5867400" cy="431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1406" cy="4321942"/>
                                </a:xfrm>
                                <a:prstGeom prst="rect">
                                  <a:avLst/>
                                </a:prstGeom>
                              </pic:spPr>
                            </pic:pic>
                          </a:graphicData>
                        </a:graphic>
                      </wp:inline>
                    </w:drawing>
                  </w:r>
                </w:p>
              </w:tc>
            </w:tr>
          </w:tbl>
          <w:p w14:paraId="3B6777BB" w14:textId="77777777" w:rsidR="00354FF7" w:rsidRPr="00354FF7" w:rsidRDefault="00354FF7" w:rsidP="00354FF7">
            <w:pPr>
              <w:spacing w:after="0" w:line="240" w:lineRule="auto"/>
              <w:rPr>
                <w:rFonts w:ascii="Times New Roman" w:eastAsia="Times New Roman" w:hAnsi="Times New Roman" w:cs="Times New Roman"/>
                <w:sz w:val="24"/>
                <w:szCs w:val="24"/>
              </w:rPr>
            </w:pPr>
          </w:p>
        </w:tc>
      </w:tr>
    </w:tbl>
    <w:p w14:paraId="5B03E64A" w14:textId="77777777" w:rsidR="00354FF7" w:rsidRPr="00354FF7" w:rsidRDefault="00354FF7" w:rsidP="00354FF7">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54FF7" w:rsidRPr="00354FF7" w14:paraId="72A9F7A5" w14:textId="77777777" w:rsidTr="00354FF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354FF7" w:rsidRPr="00354FF7" w14:paraId="72CE0010" w14:textId="77777777" w:rsidTr="00354FF7">
              <w:trPr>
                <w:tblCellSpacing w:w="0" w:type="dxa"/>
              </w:trPr>
              <w:tc>
                <w:tcPr>
                  <w:tcW w:w="0" w:type="auto"/>
                  <w:hideMark/>
                </w:tcPr>
                <w:p w14:paraId="3FA68876" w14:textId="77777777" w:rsidR="00354FF7" w:rsidRPr="00354FF7" w:rsidRDefault="00354FF7" w:rsidP="00354FF7">
                  <w:pPr>
                    <w:spacing w:after="0" w:line="240" w:lineRule="auto"/>
                    <w:jc w:val="center"/>
                    <w:divId w:val="2029023888"/>
                    <w:rPr>
                      <w:rFonts w:ascii="Times New Roman" w:eastAsia="Times New Roman" w:hAnsi="Times New Roman" w:cs="Times New Roman"/>
                      <w:sz w:val="24"/>
                      <w:szCs w:val="24"/>
                    </w:rPr>
                  </w:pPr>
                </w:p>
              </w:tc>
            </w:tr>
          </w:tbl>
          <w:p w14:paraId="63E566E9" w14:textId="77777777" w:rsidR="00354FF7" w:rsidRPr="00354FF7" w:rsidRDefault="00354FF7" w:rsidP="00354FF7">
            <w:pPr>
              <w:spacing w:after="0" w:line="240" w:lineRule="auto"/>
              <w:rPr>
                <w:rFonts w:ascii="Times New Roman" w:eastAsia="Times New Roman" w:hAnsi="Times New Roman" w:cs="Times New Roman"/>
                <w:sz w:val="24"/>
                <w:szCs w:val="24"/>
              </w:rPr>
            </w:pPr>
          </w:p>
        </w:tc>
      </w:tr>
    </w:tbl>
    <w:p w14:paraId="7D8E7092" w14:textId="77777777" w:rsidR="00354FF7" w:rsidRPr="00354FF7" w:rsidRDefault="00354FF7" w:rsidP="00354FF7">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54FF7" w:rsidRPr="00354FF7" w14:paraId="026F8DD9" w14:textId="77777777" w:rsidTr="00354FF7">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354FF7" w:rsidRPr="00354FF7" w14:paraId="70045C68" w14:textId="77777777" w:rsidTr="00354FF7">
              <w:trPr>
                <w:tblCellSpacing w:w="0" w:type="dxa"/>
              </w:trPr>
              <w:tc>
                <w:tcPr>
                  <w:tcW w:w="0" w:type="auto"/>
                  <w:tcMar>
                    <w:top w:w="150" w:type="dxa"/>
                    <w:left w:w="300" w:type="dxa"/>
                    <w:bottom w:w="150" w:type="dxa"/>
                    <w:right w:w="300" w:type="dxa"/>
                  </w:tcMar>
                  <w:hideMark/>
                </w:tcPr>
                <w:p w14:paraId="5C818627" w14:textId="77777777" w:rsidR="00354FF7" w:rsidRPr="00354FF7" w:rsidRDefault="00354FF7" w:rsidP="003628E4">
                  <w:pPr>
                    <w:spacing w:after="0" w:line="240" w:lineRule="auto"/>
                    <w:divId w:val="754664903"/>
                    <w:rPr>
                      <w:rFonts w:ascii="Arial" w:eastAsia="Times New Roman" w:hAnsi="Arial" w:cs="Arial"/>
                      <w:color w:val="000000"/>
                      <w:sz w:val="21"/>
                      <w:szCs w:val="21"/>
                    </w:rPr>
                  </w:pPr>
                  <w:r w:rsidRPr="00354FF7">
                    <w:rPr>
                      <w:rFonts w:ascii="Arial" w:eastAsia="Times New Roman" w:hAnsi="Arial" w:cs="Arial"/>
                      <w:b/>
                      <w:bCs/>
                      <w:color w:val="5A0808"/>
                      <w:sz w:val="18"/>
                      <w:szCs w:val="18"/>
                    </w:rPr>
                    <w:t>Statue of John Mitchell, dedicated union leader who led the anthracite coal strike of 1902, is located at the Lackawanna County Courthouse where the Anthracite Coal Strike Commission held hearings in November 1902. Each October 29 “John Mitchell Day” continues to be held in remembrance of Mitchell’s success.</w:t>
                  </w:r>
                </w:p>
              </w:tc>
            </w:tr>
          </w:tbl>
          <w:p w14:paraId="725A049A" w14:textId="77777777" w:rsidR="00354FF7" w:rsidRPr="00354FF7" w:rsidRDefault="00354FF7" w:rsidP="00354FF7">
            <w:pPr>
              <w:spacing w:after="0" w:line="240" w:lineRule="auto"/>
              <w:rPr>
                <w:rFonts w:ascii="Times New Roman" w:eastAsia="Times New Roman" w:hAnsi="Times New Roman" w:cs="Times New Roman"/>
                <w:sz w:val="24"/>
                <w:szCs w:val="24"/>
              </w:rPr>
            </w:pPr>
          </w:p>
        </w:tc>
      </w:tr>
    </w:tbl>
    <w:p w14:paraId="7611CB60" w14:textId="77777777" w:rsidR="00354FF7" w:rsidRDefault="00354FF7"/>
    <w:sectPr w:rsidR="00354F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FF7"/>
    <w:rsid w:val="00354FF7"/>
    <w:rsid w:val="0036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1A58"/>
  <w15:chartTrackingRefBased/>
  <w15:docId w15:val="{97A071BE-B974-4F0C-A1B4-544CEA87C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705298">
      <w:bodyDiv w:val="1"/>
      <w:marLeft w:val="0"/>
      <w:marRight w:val="0"/>
      <w:marTop w:val="0"/>
      <w:marBottom w:val="0"/>
      <w:divBdr>
        <w:top w:val="none" w:sz="0" w:space="0" w:color="auto"/>
        <w:left w:val="none" w:sz="0" w:space="0" w:color="auto"/>
        <w:bottom w:val="none" w:sz="0" w:space="0" w:color="auto"/>
        <w:right w:val="none" w:sz="0" w:space="0" w:color="auto"/>
      </w:divBdr>
      <w:divsChild>
        <w:div w:id="1351561867">
          <w:marLeft w:val="0"/>
          <w:marRight w:val="0"/>
          <w:marTop w:val="0"/>
          <w:marBottom w:val="0"/>
          <w:divBdr>
            <w:top w:val="none" w:sz="0" w:space="0" w:color="auto"/>
            <w:left w:val="none" w:sz="0" w:space="0" w:color="auto"/>
            <w:bottom w:val="none" w:sz="0" w:space="0" w:color="auto"/>
            <w:right w:val="none" w:sz="0" w:space="0" w:color="auto"/>
          </w:divBdr>
          <w:divsChild>
            <w:div w:id="1422795777">
              <w:marLeft w:val="0"/>
              <w:marRight w:val="0"/>
              <w:marTop w:val="0"/>
              <w:marBottom w:val="0"/>
              <w:divBdr>
                <w:top w:val="none" w:sz="0" w:space="0" w:color="auto"/>
                <w:left w:val="none" w:sz="0" w:space="0" w:color="auto"/>
                <w:bottom w:val="none" w:sz="0" w:space="0" w:color="auto"/>
                <w:right w:val="none" w:sz="0" w:space="0" w:color="auto"/>
              </w:divBdr>
              <w:divsChild>
                <w:div w:id="73848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28485">
          <w:marLeft w:val="0"/>
          <w:marRight w:val="0"/>
          <w:marTop w:val="0"/>
          <w:marBottom w:val="0"/>
          <w:divBdr>
            <w:top w:val="none" w:sz="0" w:space="0" w:color="auto"/>
            <w:left w:val="none" w:sz="0" w:space="0" w:color="auto"/>
            <w:bottom w:val="none" w:sz="0" w:space="0" w:color="auto"/>
            <w:right w:val="none" w:sz="0" w:space="0" w:color="auto"/>
          </w:divBdr>
          <w:divsChild>
            <w:div w:id="2080982095">
              <w:marLeft w:val="0"/>
              <w:marRight w:val="0"/>
              <w:marTop w:val="0"/>
              <w:marBottom w:val="0"/>
              <w:divBdr>
                <w:top w:val="none" w:sz="0" w:space="0" w:color="auto"/>
                <w:left w:val="none" w:sz="0" w:space="0" w:color="auto"/>
                <w:bottom w:val="none" w:sz="0" w:space="0" w:color="auto"/>
                <w:right w:val="none" w:sz="0" w:space="0" w:color="auto"/>
              </w:divBdr>
            </w:div>
          </w:divsChild>
        </w:div>
        <w:div w:id="649211013">
          <w:marLeft w:val="0"/>
          <w:marRight w:val="0"/>
          <w:marTop w:val="0"/>
          <w:marBottom w:val="0"/>
          <w:divBdr>
            <w:top w:val="none" w:sz="0" w:space="0" w:color="auto"/>
            <w:left w:val="none" w:sz="0" w:space="0" w:color="auto"/>
            <w:bottom w:val="none" w:sz="0" w:space="0" w:color="auto"/>
            <w:right w:val="none" w:sz="0" w:space="0" w:color="auto"/>
          </w:divBdr>
          <w:divsChild>
            <w:div w:id="833104245">
              <w:marLeft w:val="0"/>
              <w:marRight w:val="0"/>
              <w:marTop w:val="0"/>
              <w:marBottom w:val="0"/>
              <w:divBdr>
                <w:top w:val="none" w:sz="0" w:space="0" w:color="auto"/>
                <w:left w:val="none" w:sz="0" w:space="0" w:color="auto"/>
                <w:bottom w:val="none" w:sz="0" w:space="0" w:color="auto"/>
                <w:right w:val="none" w:sz="0" w:space="0" w:color="auto"/>
              </w:divBdr>
              <w:divsChild>
                <w:div w:id="1333608463">
                  <w:marLeft w:val="0"/>
                  <w:marRight w:val="0"/>
                  <w:marTop w:val="0"/>
                  <w:marBottom w:val="0"/>
                  <w:divBdr>
                    <w:top w:val="none" w:sz="0" w:space="0" w:color="auto"/>
                    <w:left w:val="none" w:sz="0" w:space="0" w:color="auto"/>
                    <w:bottom w:val="none" w:sz="0" w:space="0" w:color="auto"/>
                    <w:right w:val="none" w:sz="0" w:space="0" w:color="auto"/>
                  </w:divBdr>
                </w:div>
              </w:divsChild>
            </w:div>
            <w:div w:id="1007826726">
              <w:marLeft w:val="0"/>
              <w:marRight w:val="0"/>
              <w:marTop w:val="0"/>
              <w:marBottom w:val="0"/>
              <w:divBdr>
                <w:top w:val="none" w:sz="0" w:space="0" w:color="auto"/>
                <w:left w:val="none" w:sz="0" w:space="0" w:color="auto"/>
                <w:bottom w:val="none" w:sz="0" w:space="0" w:color="auto"/>
                <w:right w:val="none" w:sz="0" w:space="0" w:color="auto"/>
              </w:divBdr>
              <w:divsChild>
                <w:div w:id="1597787570">
                  <w:marLeft w:val="0"/>
                  <w:marRight w:val="0"/>
                  <w:marTop w:val="0"/>
                  <w:marBottom w:val="0"/>
                  <w:divBdr>
                    <w:top w:val="none" w:sz="0" w:space="0" w:color="auto"/>
                    <w:left w:val="none" w:sz="0" w:space="0" w:color="auto"/>
                    <w:bottom w:val="none" w:sz="0" w:space="0" w:color="auto"/>
                    <w:right w:val="none" w:sz="0" w:space="0" w:color="auto"/>
                  </w:divBdr>
                  <w:divsChild>
                    <w:div w:id="2050253268">
                      <w:marLeft w:val="0"/>
                      <w:marRight w:val="0"/>
                      <w:marTop w:val="0"/>
                      <w:marBottom w:val="0"/>
                      <w:divBdr>
                        <w:top w:val="none" w:sz="0" w:space="0" w:color="auto"/>
                        <w:left w:val="none" w:sz="0" w:space="0" w:color="auto"/>
                        <w:bottom w:val="none" w:sz="0" w:space="0" w:color="auto"/>
                        <w:right w:val="none" w:sz="0" w:space="0" w:color="auto"/>
                      </w:divBdr>
                    </w:div>
                    <w:div w:id="349376845">
                      <w:marLeft w:val="0"/>
                      <w:marRight w:val="0"/>
                      <w:marTop w:val="0"/>
                      <w:marBottom w:val="0"/>
                      <w:divBdr>
                        <w:top w:val="none" w:sz="0" w:space="0" w:color="auto"/>
                        <w:left w:val="none" w:sz="0" w:space="0" w:color="auto"/>
                        <w:bottom w:val="none" w:sz="0" w:space="0" w:color="auto"/>
                        <w:right w:val="none" w:sz="0" w:space="0" w:color="auto"/>
                      </w:divBdr>
                    </w:div>
                    <w:div w:id="1428384726">
                      <w:marLeft w:val="0"/>
                      <w:marRight w:val="0"/>
                      <w:marTop w:val="0"/>
                      <w:marBottom w:val="0"/>
                      <w:divBdr>
                        <w:top w:val="none" w:sz="0" w:space="0" w:color="auto"/>
                        <w:left w:val="none" w:sz="0" w:space="0" w:color="auto"/>
                        <w:bottom w:val="none" w:sz="0" w:space="0" w:color="auto"/>
                        <w:right w:val="none" w:sz="0" w:space="0" w:color="auto"/>
                      </w:divBdr>
                    </w:div>
                    <w:div w:id="221599584">
                      <w:marLeft w:val="0"/>
                      <w:marRight w:val="0"/>
                      <w:marTop w:val="0"/>
                      <w:marBottom w:val="0"/>
                      <w:divBdr>
                        <w:top w:val="none" w:sz="0" w:space="0" w:color="auto"/>
                        <w:left w:val="none" w:sz="0" w:space="0" w:color="auto"/>
                        <w:bottom w:val="none" w:sz="0" w:space="0" w:color="auto"/>
                        <w:right w:val="none" w:sz="0" w:space="0" w:color="auto"/>
                      </w:divBdr>
                    </w:div>
                    <w:div w:id="411661505">
                      <w:marLeft w:val="0"/>
                      <w:marRight w:val="0"/>
                      <w:marTop w:val="0"/>
                      <w:marBottom w:val="0"/>
                      <w:divBdr>
                        <w:top w:val="none" w:sz="0" w:space="0" w:color="auto"/>
                        <w:left w:val="none" w:sz="0" w:space="0" w:color="auto"/>
                        <w:bottom w:val="none" w:sz="0" w:space="0" w:color="auto"/>
                        <w:right w:val="none" w:sz="0" w:space="0" w:color="auto"/>
                      </w:divBdr>
                    </w:div>
                    <w:div w:id="833954330">
                      <w:marLeft w:val="0"/>
                      <w:marRight w:val="0"/>
                      <w:marTop w:val="0"/>
                      <w:marBottom w:val="0"/>
                      <w:divBdr>
                        <w:top w:val="none" w:sz="0" w:space="0" w:color="auto"/>
                        <w:left w:val="none" w:sz="0" w:space="0" w:color="auto"/>
                        <w:bottom w:val="none" w:sz="0" w:space="0" w:color="auto"/>
                        <w:right w:val="none" w:sz="0" w:space="0" w:color="auto"/>
                      </w:divBdr>
                    </w:div>
                    <w:div w:id="1687176922">
                      <w:marLeft w:val="0"/>
                      <w:marRight w:val="0"/>
                      <w:marTop w:val="0"/>
                      <w:marBottom w:val="0"/>
                      <w:divBdr>
                        <w:top w:val="none" w:sz="0" w:space="0" w:color="auto"/>
                        <w:left w:val="none" w:sz="0" w:space="0" w:color="auto"/>
                        <w:bottom w:val="none" w:sz="0" w:space="0" w:color="auto"/>
                        <w:right w:val="none" w:sz="0" w:space="0" w:color="auto"/>
                      </w:divBdr>
                    </w:div>
                    <w:div w:id="1077049359">
                      <w:marLeft w:val="0"/>
                      <w:marRight w:val="0"/>
                      <w:marTop w:val="0"/>
                      <w:marBottom w:val="0"/>
                      <w:divBdr>
                        <w:top w:val="none" w:sz="0" w:space="0" w:color="auto"/>
                        <w:left w:val="none" w:sz="0" w:space="0" w:color="auto"/>
                        <w:bottom w:val="none" w:sz="0" w:space="0" w:color="auto"/>
                        <w:right w:val="none" w:sz="0" w:space="0" w:color="auto"/>
                      </w:divBdr>
                    </w:div>
                    <w:div w:id="275791747">
                      <w:marLeft w:val="0"/>
                      <w:marRight w:val="0"/>
                      <w:marTop w:val="0"/>
                      <w:marBottom w:val="0"/>
                      <w:divBdr>
                        <w:top w:val="none" w:sz="0" w:space="0" w:color="auto"/>
                        <w:left w:val="none" w:sz="0" w:space="0" w:color="auto"/>
                        <w:bottom w:val="none" w:sz="0" w:space="0" w:color="auto"/>
                        <w:right w:val="none" w:sz="0" w:space="0" w:color="auto"/>
                      </w:divBdr>
                    </w:div>
                    <w:div w:id="647057380">
                      <w:marLeft w:val="0"/>
                      <w:marRight w:val="0"/>
                      <w:marTop w:val="0"/>
                      <w:marBottom w:val="0"/>
                      <w:divBdr>
                        <w:top w:val="none" w:sz="0" w:space="0" w:color="auto"/>
                        <w:left w:val="none" w:sz="0" w:space="0" w:color="auto"/>
                        <w:bottom w:val="none" w:sz="0" w:space="0" w:color="auto"/>
                        <w:right w:val="none" w:sz="0" w:space="0" w:color="auto"/>
                      </w:divBdr>
                    </w:div>
                    <w:div w:id="2067333386">
                      <w:marLeft w:val="0"/>
                      <w:marRight w:val="0"/>
                      <w:marTop w:val="0"/>
                      <w:marBottom w:val="0"/>
                      <w:divBdr>
                        <w:top w:val="none" w:sz="0" w:space="0" w:color="auto"/>
                        <w:left w:val="none" w:sz="0" w:space="0" w:color="auto"/>
                        <w:bottom w:val="none" w:sz="0" w:space="0" w:color="auto"/>
                        <w:right w:val="none" w:sz="0" w:space="0" w:color="auto"/>
                      </w:divBdr>
                    </w:div>
                    <w:div w:id="1620796932">
                      <w:marLeft w:val="0"/>
                      <w:marRight w:val="0"/>
                      <w:marTop w:val="0"/>
                      <w:marBottom w:val="0"/>
                      <w:divBdr>
                        <w:top w:val="none" w:sz="0" w:space="0" w:color="auto"/>
                        <w:left w:val="none" w:sz="0" w:space="0" w:color="auto"/>
                        <w:bottom w:val="none" w:sz="0" w:space="0" w:color="auto"/>
                        <w:right w:val="none" w:sz="0" w:space="0" w:color="auto"/>
                      </w:divBdr>
                    </w:div>
                    <w:div w:id="1504470579">
                      <w:marLeft w:val="0"/>
                      <w:marRight w:val="0"/>
                      <w:marTop w:val="0"/>
                      <w:marBottom w:val="0"/>
                      <w:divBdr>
                        <w:top w:val="none" w:sz="0" w:space="0" w:color="auto"/>
                        <w:left w:val="none" w:sz="0" w:space="0" w:color="auto"/>
                        <w:bottom w:val="none" w:sz="0" w:space="0" w:color="auto"/>
                        <w:right w:val="none" w:sz="0" w:space="0" w:color="auto"/>
                      </w:divBdr>
                    </w:div>
                    <w:div w:id="1439987365">
                      <w:marLeft w:val="0"/>
                      <w:marRight w:val="0"/>
                      <w:marTop w:val="0"/>
                      <w:marBottom w:val="0"/>
                      <w:divBdr>
                        <w:top w:val="none" w:sz="0" w:space="0" w:color="auto"/>
                        <w:left w:val="none" w:sz="0" w:space="0" w:color="auto"/>
                        <w:bottom w:val="none" w:sz="0" w:space="0" w:color="auto"/>
                        <w:right w:val="none" w:sz="0" w:space="0" w:color="auto"/>
                      </w:divBdr>
                    </w:div>
                    <w:div w:id="1032610023">
                      <w:marLeft w:val="0"/>
                      <w:marRight w:val="0"/>
                      <w:marTop w:val="0"/>
                      <w:marBottom w:val="0"/>
                      <w:divBdr>
                        <w:top w:val="none" w:sz="0" w:space="0" w:color="auto"/>
                        <w:left w:val="none" w:sz="0" w:space="0" w:color="auto"/>
                        <w:bottom w:val="none" w:sz="0" w:space="0" w:color="auto"/>
                        <w:right w:val="none" w:sz="0" w:space="0" w:color="auto"/>
                      </w:divBdr>
                    </w:div>
                    <w:div w:id="785543272">
                      <w:marLeft w:val="0"/>
                      <w:marRight w:val="0"/>
                      <w:marTop w:val="0"/>
                      <w:marBottom w:val="0"/>
                      <w:divBdr>
                        <w:top w:val="none" w:sz="0" w:space="0" w:color="auto"/>
                        <w:left w:val="none" w:sz="0" w:space="0" w:color="auto"/>
                        <w:bottom w:val="none" w:sz="0" w:space="0" w:color="auto"/>
                        <w:right w:val="none" w:sz="0" w:space="0" w:color="auto"/>
                      </w:divBdr>
                    </w:div>
                    <w:div w:id="1793400182">
                      <w:marLeft w:val="0"/>
                      <w:marRight w:val="0"/>
                      <w:marTop w:val="0"/>
                      <w:marBottom w:val="0"/>
                      <w:divBdr>
                        <w:top w:val="none" w:sz="0" w:space="0" w:color="auto"/>
                        <w:left w:val="none" w:sz="0" w:space="0" w:color="auto"/>
                        <w:bottom w:val="none" w:sz="0" w:space="0" w:color="auto"/>
                        <w:right w:val="none" w:sz="0" w:space="0" w:color="auto"/>
                      </w:divBdr>
                    </w:div>
                    <w:div w:id="1197736213">
                      <w:marLeft w:val="0"/>
                      <w:marRight w:val="0"/>
                      <w:marTop w:val="0"/>
                      <w:marBottom w:val="0"/>
                      <w:divBdr>
                        <w:top w:val="none" w:sz="0" w:space="0" w:color="auto"/>
                        <w:left w:val="none" w:sz="0" w:space="0" w:color="auto"/>
                        <w:bottom w:val="none" w:sz="0" w:space="0" w:color="auto"/>
                        <w:right w:val="none" w:sz="0" w:space="0" w:color="auto"/>
                      </w:divBdr>
                    </w:div>
                    <w:div w:id="268661364">
                      <w:marLeft w:val="0"/>
                      <w:marRight w:val="0"/>
                      <w:marTop w:val="0"/>
                      <w:marBottom w:val="0"/>
                      <w:divBdr>
                        <w:top w:val="none" w:sz="0" w:space="0" w:color="auto"/>
                        <w:left w:val="none" w:sz="0" w:space="0" w:color="auto"/>
                        <w:bottom w:val="none" w:sz="0" w:space="0" w:color="auto"/>
                        <w:right w:val="none" w:sz="0" w:space="0" w:color="auto"/>
                      </w:divBdr>
                    </w:div>
                    <w:div w:id="38480580">
                      <w:marLeft w:val="0"/>
                      <w:marRight w:val="0"/>
                      <w:marTop w:val="0"/>
                      <w:marBottom w:val="0"/>
                      <w:divBdr>
                        <w:top w:val="none" w:sz="0" w:space="0" w:color="auto"/>
                        <w:left w:val="none" w:sz="0" w:space="0" w:color="auto"/>
                        <w:bottom w:val="none" w:sz="0" w:space="0" w:color="auto"/>
                        <w:right w:val="none" w:sz="0" w:space="0" w:color="auto"/>
                      </w:divBdr>
                    </w:div>
                    <w:div w:id="605114612">
                      <w:marLeft w:val="0"/>
                      <w:marRight w:val="0"/>
                      <w:marTop w:val="0"/>
                      <w:marBottom w:val="0"/>
                      <w:divBdr>
                        <w:top w:val="none" w:sz="0" w:space="0" w:color="auto"/>
                        <w:left w:val="none" w:sz="0" w:space="0" w:color="auto"/>
                        <w:bottom w:val="none" w:sz="0" w:space="0" w:color="auto"/>
                        <w:right w:val="none" w:sz="0" w:space="0" w:color="auto"/>
                      </w:divBdr>
                    </w:div>
                    <w:div w:id="11386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76909">
          <w:marLeft w:val="0"/>
          <w:marRight w:val="0"/>
          <w:marTop w:val="0"/>
          <w:marBottom w:val="0"/>
          <w:divBdr>
            <w:top w:val="none" w:sz="0" w:space="0" w:color="auto"/>
            <w:left w:val="none" w:sz="0" w:space="0" w:color="auto"/>
            <w:bottom w:val="none" w:sz="0" w:space="0" w:color="auto"/>
            <w:right w:val="none" w:sz="0" w:space="0" w:color="auto"/>
          </w:divBdr>
          <w:divsChild>
            <w:div w:id="2029023888">
              <w:marLeft w:val="0"/>
              <w:marRight w:val="0"/>
              <w:marTop w:val="0"/>
              <w:marBottom w:val="0"/>
              <w:divBdr>
                <w:top w:val="none" w:sz="0" w:space="0" w:color="auto"/>
                <w:left w:val="none" w:sz="0" w:space="0" w:color="auto"/>
                <w:bottom w:val="none" w:sz="0" w:space="0" w:color="auto"/>
                <w:right w:val="none" w:sz="0" w:space="0" w:color="auto"/>
              </w:divBdr>
            </w:div>
          </w:divsChild>
        </w:div>
        <w:div w:id="1039091846">
          <w:marLeft w:val="0"/>
          <w:marRight w:val="0"/>
          <w:marTop w:val="0"/>
          <w:marBottom w:val="0"/>
          <w:divBdr>
            <w:top w:val="none" w:sz="0" w:space="0" w:color="auto"/>
            <w:left w:val="none" w:sz="0" w:space="0" w:color="auto"/>
            <w:bottom w:val="none" w:sz="0" w:space="0" w:color="auto"/>
            <w:right w:val="none" w:sz="0" w:space="0" w:color="auto"/>
          </w:divBdr>
          <w:divsChild>
            <w:div w:id="1107890103">
              <w:marLeft w:val="0"/>
              <w:marRight w:val="0"/>
              <w:marTop w:val="0"/>
              <w:marBottom w:val="0"/>
              <w:divBdr>
                <w:top w:val="none" w:sz="0" w:space="0" w:color="auto"/>
                <w:left w:val="none" w:sz="0" w:space="0" w:color="auto"/>
                <w:bottom w:val="none" w:sz="0" w:space="0" w:color="auto"/>
                <w:right w:val="none" w:sz="0" w:space="0" w:color="auto"/>
              </w:divBdr>
              <w:divsChild>
                <w:div w:id="2116290165">
                  <w:marLeft w:val="0"/>
                  <w:marRight w:val="0"/>
                  <w:marTop w:val="0"/>
                  <w:marBottom w:val="0"/>
                  <w:divBdr>
                    <w:top w:val="none" w:sz="0" w:space="0" w:color="auto"/>
                    <w:left w:val="none" w:sz="0" w:space="0" w:color="auto"/>
                    <w:bottom w:val="none" w:sz="0" w:space="0" w:color="auto"/>
                    <w:right w:val="none" w:sz="0" w:space="0" w:color="auto"/>
                  </w:divBdr>
                  <w:divsChild>
                    <w:div w:id="7546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mithsonianmag.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gif"/><Relationship Id="rId10"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864</Words>
  <Characters>4929</Characters>
  <Application>Microsoft Office Word</Application>
  <DocSecurity>0</DocSecurity>
  <Lines>41</Lines>
  <Paragraphs>11</Paragraphs>
  <ScaleCrop>false</ScaleCrop>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reed</dc:creator>
  <cp:keywords/>
  <dc:description/>
  <cp:lastModifiedBy>william reed</cp:lastModifiedBy>
  <cp:revision>2</cp:revision>
  <dcterms:created xsi:type="dcterms:W3CDTF">2021-09-23T15:35:00Z</dcterms:created>
  <dcterms:modified xsi:type="dcterms:W3CDTF">2021-09-23T15:42:00Z</dcterms:modified>
</cp:coreProperties>
</file>